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天津市职业病防治院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唯一从事职业病防治工作的三级专科医院，以职业病防治为特色，具有综合医疗服务能力，融预防、诊断、治疗、科研、教学为一体，提供针对有毒有害作业人群、亚健康人群的健康分析、评估、预测、预防和监护。是原卫生部指定的国家化学品中毒救治基地和天津市职业病防治机构的业务指导中心；是天津市职业病尘肺康复站点；是天津市职业病诊断和职业健康检查质量控制中心挂靠医院；是我市唯一具有各类职业病体检资质和诊断资质的医院，负责全市的职业病防治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天津市职业病防治院。</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天津市职业病防治院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67932293.08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250316173.66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14760466.20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304389847.24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3232536.74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283000.00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321481003.48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319433313.44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2047690.04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321481003.48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321481003.48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321481003.48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67932293.08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250316173.66</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3232536.74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14760466.20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14760466.20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14165000.00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14165000.00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9327000.00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9327000.00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4838000.00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4838000.00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595466.20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595466.20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595466.20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595466.20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306437537.28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52888826.88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250316173.66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3232536.74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301577459.67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48028749.27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250316173.66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3232536.74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职业病防治医院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301577459.67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48028749.27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250316173.66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3232536.74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435077.61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435077.61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435077.61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435077.61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4425000.00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4425000.00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3356000.00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3356000.00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1069000.00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1069000.00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天津市职业病防治院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321481003.48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321481003.48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67932293.08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250316173.66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3232536.74</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368218</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天津市职业病防治院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321481003.48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321481003.48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67932293.08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250316173.66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3232536.74</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天津市职业病防治院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368218</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天津市职业病防治院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319433313.44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316606320.36</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2826993.08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14760466.20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9327000.00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9327000.00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304389847.24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302441320.36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1948526.88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299529769.63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298016320.36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1513449.27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职业病防治医院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299529769.63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298016320.36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1513449.27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1069000.00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1069000.00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14760466.20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14760466.20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52888826.88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52888826.88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283000.00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283000.00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67932293.08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天津市职业病防治院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67932293.08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65255300.00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63273300.00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1982000.00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2676993.08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14760466.20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9327000.00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9327000.00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9327000.00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595466.20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52888826.88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51090300.00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49108300.00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1798526.88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48028749.27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46665300.00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44683300.00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1363449.27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职业病防治医院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48028749.27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46665300.00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44683300.00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1982000.00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1363449.27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435077.61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1069000.00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283000.00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59549704.70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1982000.00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23623000.00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8750000.00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9327000.00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4838000.00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4263104.70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1434000.00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5712300.00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3723595.30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599503.38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2998496.62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125595.30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548000.00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63273300.00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1982000.00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天津市职业病防治院2025年度政府性基金预算财政拨款收入支出决算表为空表。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天津市职业病防治院2025年度国有资本经营预算财政拨款收入支出决算表为空表。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天津市职业病防治院2025年财政拨款“三公”经费支出决算表为空表。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天津市职业病防治院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2826993.08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2676993.08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595466.20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1948526.88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1798526.88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1513449.27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1363449.27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职业病防治医院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1513449.27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1363449.27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29449.27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突发事件应急处置及应急能力提升（2025年市级）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突发事件应急处置及应急能力提升（2025年市级）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紧缺人才培训（职业病防治人才培训）-中央-2025年医疗服务与保障能力提升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紧缺人才培训（职业病防治人才培训）——2025年第二批中央医疗服务与保障能力提升（卫生健康人才培养）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天津市职业病防治医院自有资金大型修缮项目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基本公共卫生服务-新划入项目-职业病防治（2025年）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435077.61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一般债券-天津市职业病防治院门诊及裙房改造工程项目（2025年一般债付息）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321,481,003.48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减少79,077,921.25元，下降19.74%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一般公共预算财政拨款收入减少、事业收入减少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一般公共预算财政拨款收入67,932,293.08元、事业收入250,316,173.66元、其他收入3,232,536.74元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社会保障和就业支出14,760,466.20元、卫生健康支出304,389,847.24元、债务付息支出283,000.00元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321,481,003.48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减少75,183,104.90元，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本年度一般公共预算财政拨款收入减少、事业收入减少、其他收入减少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一般公共预算财政拨款收入67,932,293.08元，占21.13%；事业收入250,316,173.66元，占77.86%；其他收入3,232,536.74元，占1.01%</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319,433,313.44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减少81,125,611.29元，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本年度卫生健康支出减少</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基本支出316,606,320.36元，占99.11%；项目支出2,826,993.08元，占0.89%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67,932,293.08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减少5,802,468.45元，下降7.87%，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一般公共预算财政拨款收支减少、政府性基金预算财政拨款收支减少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一般公共预算财政拨款67,932,293.08元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社会保障和就业支出14,760,466.20元、卫生健康支出52,888,826.88元、债务付息支出283,000.00元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天津市职业病防治院2025年度一般公共预算财政拨款支出合计67,932,293.08元，占本年支出合计的21.27%。与2024年度相比，一般公共预算财政拨款支出</w:t>
      </w:r>
      <w:r>
        <w:rPr>
          <w:rFonts w:eastAsia="仿宋_GB2312" w:hint="eastAsia"/>
          <w:sz w:val="30"/>
          <w:szCs w:val="30"/>
          <w:highlight w:val="none"/>
          <w:lang w:val="en-US" w:eastAsia="zh-CN"/>
        </w:rPr>
        <w:t xml:space="preserve">减少5,002,468.45元</w:t>
      </w:r>
      <w:r>
        <w:rPr>
          <w:rFonts w:eastAsia="仿宋_GB2312" w:hint="eastAsia"/>
          <w:sz w:val="30"/>
          <w:szCs w:val="30"/>
          <w:highlight w:val="none"/>
          <w:lang w:val="en-US" w:eastAsia="zh-CN"/>
        </w:rPr>
        <w:t xml:space="preserve">,下降6.86%</w:t>
      </w:r>
      <w:r>
        <w:rPr>
          <w:rFonts w:eastAsia="仿宋_GB2312" w:hint="eastAsia"/>
          <w:sz w:val="30"/>
          <w:szCs w:val="30"/>
          <w:highlight w:val="none"/>
          <w:lang w:val="en-US" w:eastAsia="zh-CN"/>
        </w:rPr>
        <w:t xml:space="preserve">，主要原因是一般公共预算财政拨款减少。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2025年度一般公共预算财政拨款支出67,932,293.08元，主要用于以下方面：</w:t>
      </w:r>
      <w:r>
        <w:rPr>
          <w:rFonts w:eastAsia="仿宋_GB2312" w:hint="eastAsia"/>
          <w:sz w:val="30"/>
          <w:szCs w:val="30"/>
          <w:highlight w:val="none"/>
        </w:rPr>
        <w:t xml:space="preserve">社会保障和就业支出（类）支出14,760,466.20元，占21.73%，卫生健康支出（类）支出52,888,826.88元，占77.86%，债务付息支出（类）支出283,000.00元，占0.41%</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2025年度一般公共预算财政拨款支出年初预算为64,690,000.00元，支出决算为67,932,293.08元</w:t>
      </w:r>
      <w:r>
        <w:rPr>
          <w:rFonts w:eastAsia="仿宋_GB2312" w:hint="eastAsia"/>
          <w:sz w:val="30"/>
          <w:szCs w:val="30"/>
          <w:highlight w:val="none"/>
          <w:lang w:val="en-US" w:eastAsia="zh-CN"/>
        </w:rPr>
        <w:t xml:space="preserve">，完成年初预算的105.01%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机关事业单位基本养老保险缴费支出（项）年初预算为8,977,000.00元，支出决算为9,327,000.00元，完成年初预算的103.90%，决算数大于年初预算数的主要原因是：该金额为财政当年新批复补记机关事业单位基本养老保险缴费支出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职业年金缴费支出（项）年初预算为4,488,000.00元，支出决算为4,838,000.00元，完成年初预算的107.80%，决算数大于年初预算数的主要原因是：该金额为财政当年新批复补记机关事业单位职业年金缴费支出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3.社会保障和就业支出（类）其他社会保障和就业支出（款）其他社会保障和就业支出（项）年初预算为0.00元，支出决算为595,466.20元，决算数大于年初预算数的主要原因是：该金额为财政当年新批复抚恤金项目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立医院（款）职业病防治医院（项）年初预算为46,397,000.00元，支出决算为48,028,749.27元，完成年初预算的103.52%，决算数大于年初预算数的主要原因是：该金额主要为财政当年新批复基本工资增资项目、紧缺人才培训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公共卫生（款）基本公共卫生服务（项）年初预算为470,000.00元，支出决算为435,077.61元，完成年初预算的92.57%，决算数小于年初预算数的主要原因是：本年度在完成工作量的前提下质控调研范围较年初预算缩小，节省了财政资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事业单位医疗（项）年初预算为3,006,000.00元，支出决算为3,356,000.00元，完成年初预算的111.64%，决算数大于年初预算数的主要原因是：该金额为财政当年新批复职工基本医疗保险缴费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其他行政事业单位医疗支出（项）年初预算为1,069,000.00元，支出决算为1,069,000.00元，完成年初预算的100.00%，决算数与年初预算数持平的主要原因是：本年度完成预算指标。</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债务付息支出（类）地方政府一般债务付息支出（款）地方政府一般债券付息支出（项）年初预算为283,000.00元，支出决算为283,000.00元，完成年初预算的100.00%，决算数与年初预算数持平的主要原因是：本年度完成预算指标。</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天津市职业病防治院2025年度一般公共预算财政拨款基本支出合计65,255,300.00元，与2024年度相比</w:t>
      </w:r>
      <w:r>
        <w:rPr>
          <w:rFonts w:eastAsia="仿宋_GB2312" w:hint="eastAsia"/>
          <w:sz w:val="30"/>
          <w:szCs w:val="30"/>
          <w:highlight w:val="none"/>
          <w:lang w:val="en-US" w:eastAsia="zh-CN"/>
        </w:rPr>
        <w:t xml:space="preserve">减少1,450,500.00元，</w:t>
      </w:r>
      <w:r>
        <w:rPr>
          <w:rFonts w:eastAsia="仿宋_GB2312" w:hint="eastAsia"/>
          <w:sz w:val="30"/>
          <w:szCs w:val="30"/>
          <w:highlight w:val="none"/>
          <w:lang w:val="en-US" w:eastAsia="zh-CN"/>
        </w:rPr>
        <w:t xml:space="preserve">主要原因是一般公共预算财政拨款减少。</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人员经费63,273,300.00元，主要包括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基本工资、津贴补贴、绩效工资、机关事业单位基本养老保险缴费、职业年金缴费、职工基本医疗保险缴费、住房公积金、医疗费、离休费、退休费、医疗费补助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公用经费1,982,000.00元，主要包括</w:t>
      </w:r>
      <w:r>
        <w:rPr>
          <w:rFonts w:eastAsia="仿宋_GB2312" w:hint="eastAsia"/>
          <w:sz w:val="30"/>
          <w:szCs w:val="30"/>
          <w:highlight w:val="none"/>
          <w:lang w:val="en-US" w:eastAsia="zh-CN"/>
        </w:rPr>
        <w:t xml:space="preserve">物业管理费、工会经费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决算数与预算数持平的主要原因是本年度未用财政拨款经费列支因公出国（境）费/公务用车购置费/公务用车运行维护费/公务接待费；</w:t>
      </w:r>
      <w:r>
        <w:rPr>
          <w:rFonts w:eastAsia="仿宋_GB2312" w:hint="eastAsia"/>
          <w:sz w:val="30"/>
          <w:szCs w:val="30"/>
          <w:highlight w:val="none"/>
          <w:lang w:val="en-US" w:eastAsia="zh-CN"/>
        </w:rPr>
        <w:t xml:space="preserve">决算数较上年持平的主要原因是本年度未用财政拨款经费列支因公出国（境）费/公务用车购置费/公务用车运行维护费/公务接待费。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职业病防治院2025年政府采购支出总额22,193,490.00元，其中：政府采购货物支出900,118.00元、政府采购工程支出842,852.00元、政府采购服务支出20,450,520.00元。授予中小企业合同金额22,193,490.00元，占政府采购支出总额的100.00%，其中：授予小微企业合同金额9,793,770.00元，占政府采购支出总额的44.13%；货物采购授予中小企业合同金额占货物支出金额的100.00%，工程采购授予中小企业合同金额占工程支出金额的100.00%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截至2025年12月31日，天津市职业病防治院共有车辆3辆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其他用车3辆</w:t>
      </w:r>
      <w:r>
        <w:rPr>
          <w:rFonts w:eastAsia="仿宋_GB2312" w:hint="eastAsia"/>
          <w:sz w:val="30"/>
          <w:szCs w:val="30"/>
          <w:highlight w:val="none"/>
          <w:lang w:val="en-US" w:eastAsia="zh-CN"/>
        </w:rPr>
        <w:t xml:space="preserve">，其他用车主要包括微型客车、轿车、多用途乘用车</w:t>
      </w:r>
      <w:r>
        <w:rPr>
          <w:rFonts w:eastAsia="仿宋_GB2312" w:hint="eastAsia"/>
          <w:sz w:val="30"/>
          <w:szCs w:val="30"/>
          <w:highlight w:val="none"/>
          <w:lang w:val="en-US" w:eastAsia="zh-CN"/>
        </w:rPr>
        <w:t xml:space="preserve">。单价100万元以上的设备23台（套）。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根据预算绩效管理要求，天津市职业病防治院2025年度已对10个市级项目开展绩效自评，涉及金额164946718.49元，自评结果已随部门决算一并公开。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天津市职业病防治院不属于乡、镇、街级单位，不涉及公开2025年度教育、医疗卫生、社会保障和就业、住房保障、涉农补贴等民生支出情况。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E292ACB0-1E6C-48C8-A909-4F53366C860A}"/>
    <w:embedBold r:id="rId2" w:subsetted="1" w:fontKey="{BE0F6AE7-B287-468E-89F4-3C350AF2DED0}"/>
  </w:font>
  <w:font w:name="Cambria">
    <w:panose1 w:val="02040503050406030204"/>
    <w:charset w:val="00"/>
    <w:family w:val="roman"/>
    <w:pitch w:val="default"/>
    <w:sig w:usb0="E00006FF" w:usb1="420024FF" w:usb2="02000000" w:usb3="00000000" w:csb0="2000019F" w:csb1="00000000"/>
    <w:embedRegular r:id="rId3" w:fontKey="{49DC2977-6D5B-4243-9E94-FF35D1876A0E}"/>
  </w:font>
  <w:font w:name="Calibri">
    <w:panose1 w:val="020F0502020204030204"/>
    <w:charset w:val="00"/>
    <w:family w:val="swiss"/>
    <w:pitch w:val="default"/>
    <w:sig w:usb0="E4002EFF" w:usb1="C200247B" w:usb2="00000009" w:usb3="00000000" w:csb0="200001FF" w:csb1="00000000"/>
    <w:embedRegular r:id="rId4" w:fontKey="{479B5133-A76E-49D4-8BAD-11FAE5B54A59}"/>
  </w:font>
  <w:font w:name="黑体">
    <w:panose1 w:val="02010609060101010101"/>
    <w:charset w:val="FFFFFF86"/>
    <w:family w:val="auto"/>
    <w:pitch w:val="default"/>
    <w:sig w:usb0="800002BF" w:usb1="38CF7CFA" w:usb2="00000016" w:usb3="00000000" w:csb0="00040001" w:csb1="00000000"/>
    <w:embedRegular r:id="rId5" w:subsetted="1" w:fontKey="{7859A2BC-E5BA-4E9E-B8C6-3FA482930D2D}"/>
    <w:embedBold r:id="rId6" w:subsetted="1" w:fontKey="{61A6D11C-CE59-475D-9888-1A6C0BD21EA6}"/>
  </w:font>
  <w:font w:name="方正小标宋简体">
    <w:altName w:val="黑体"/>
    <w:panose1 w:val="02000000000000000000"/>
    <w:charset w:val="FFFFFF86"/>
    <w:family w:val="auto"/>
    <w:pitch w:val="default"/>
    <w:sig w:usb0="00000001" w:usb1="08000000" w:usb2="00000000" w:usb3="00000000" w:csb0="00040000" w:csb1="00000000"/>
    <w:embedRegular r:id="rId7" w:fontKey="{1B23ABB2-8AD5-4E06-A9A7-9A98D1AFDE31}"/>
    <w:embedBold r:id="rId8" w:fontKey="{30404595-87AA-433D-A7B3-4A8243B7AB4F}"/>
  </w:font>
  <w:font w:name="仿宋">
    <w:panose1 w:val="02010609060101010101"/>
    <w:charset w:val="FFFFFF86"/>
    <w:family w:val="auto"/>
    <w:pitch w:val="default"/>
    <w:sig w:usb0="800002BF" w:usb1="38CF7CFA" w:usb2="00000016" w:usb3="00000000" w:csb0="00040001" w:csb1="00000000"/>
    <w:embedRegular r:id="rId9" w:subsetted="1" w:fontKey="{55C6534B-CF12-4E8F-8665-E1F654E5BF66}"/>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6F9F1138-21E8-4A92-AB76-87CEED67885E}"/>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1CD3866B-B7EA-4377-A7CE-AFF7E246709F}"/>
    <w:embedBold r:id="rId12" w:subsetted="1" w:fontKey="{11185726-03B4-401B-9D0E-F55AA11D2B1E}"/>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31</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34</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